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United States Access Board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1331 F Street, NW, Suite 1000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Washington, DC 20004-1111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i w:val="1"/>
          <w:sz w:val="25"/>
          <w:szCs w:val="25"/>
          <w:highlight w:val="white"/>
        </w:rPr>
      </w:pPr>
      <w:r w:rsidDel="00000000" w:rsidR="00000000" w:rsidRPr="00000000">
        <w:rPr>
          <w:i w:val="1"/>
          <w:rtl w:val="0"/>
        </w:rPr>
        <w:t xml:space="preserve">Email: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i</w:t>
        </w:r>
      </w:hyperlink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5"/>
            <w:szCs w:val="25"/>
            <w:highlight w:val="white"/>
            <w:u w:val="single"/>
            <w:rtl w:val="0"/>
          </w:rPr>
          <w:t xml:space="preserve">nfo@access-board.gov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i w:val="1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color w:val="1b1b1b"/>
          <w:highlight w:val="white"/>
          <w:rtl w:val="0"/>
        </w:rPr>
        <w:t xml:space="preserve">Dr. Sachin Dev Pavithran</w:t>
      </w:r>
      <w:r w:rsidDel="00000000" w:rsidR="00000000" w:rsidRPr="00000000">
        <w:rPr>
          <w:rFonts w:ascii="Roboto" w:cs="Roboto" w:eastAsia="Roboto" w:hAnsi="Roboto"/>
          <w:color w:val="1b1b1b"/>
          <w:sz w:val="25"/>
          <w:szCs w:val="25"/>
          <w:highlight w:val="white"/>
          <w:rtl w:val="0"/>
        </w:rPr>
        <w:t xml:space="preserve"> and </w:t>
      </w:r>
      <w:r w:rsidDel="00000000" w:rsidR="00000000" w:rsidRPr="00000000">
        <w:rPr>
          <w:rtl w:val="0"/>
        </w:rPr>
        <w:t xml:space="preserve">Members of the U.S. Access Board,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hope this letter finds you well. I am writing to request that the Board consider including a discussion item on the agenda for the upcoming meeting on October 30, 2024 or the following meeting on January 27-29 2025. Specifically, I would like to request that the Board discuss the possibility of making a rule to require adult changing stations in public facilities, in accordance with the provisions of the ICC E142-21, which the Access Board previously supported during the International Code Council’s (ICC) deliberations.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As you are aware, the ICC E142-21 amendment to the International Building Code represents a significant step forward in ensuring that people with disabilities and their families have access to the facilities they need in public spaces. The inclusion of adult-size changing tables in family/single-user restrooms is a crucial accommodation that provides dignity, safety, and accessibility for individuals who require assistance with personal care in a public setting.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Given the Access Board’s endorsement of this code change during the ICC process, I believe it is essential to explore the possibility of codifying this requirement into federal accessibility standards. A formal rulemaking process would further demonstrate the Board's commitment to enhancing the accessibility of public spaces for all individuals, particularly those with significant physical disabilities.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understand that the rulemaking process involves careful consideration and extensive public input. However, I strongly believe that initiating this discussion during the upcoming meeting would be a meaningful step towards advancing this important issue.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Thank you for your attention to this request. I look forward to your response and am hopeful that the Board will take this opportunity to discuss the adoption of a rule for adult-size changing tables as outlined in ICC E142-21.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Sincerely,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[Your Address]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[City, State, ZIP Code]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[Email Address]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[Phone Number]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access-board.gov" TargetMode="External"/><Relationship Id="rId7" Type="http://schemas.openxmlformats.org/officeDocument/2006/relationships/hyperlink" Target="mailto:info@access-board.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